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AADC" w14:textId="6FF8A602" w:rsidR="007061B8" w:rsidRPr="002540BD" w:rsidRDefault="002540BD" w:rsidP="007061B8">
      <w:pPr>
        <w:spacing w:after="0" w:line="240" w:lineRule="auto"/>
        <w:jc w:val="both"/>
        <w:rPr>
          <w:rFonts w:ascii="Segoe UI" w:hAnsi="Segoe UI" w:cs="Segoe UI"/>
          <w:b/>
          <w:bCs/>
        </w:rPr>
      </w:pPr>
      <w:r w:rsidRPr="002540BD">
        <w:rPr>
          <w:rFonts w:ascii="Segoe UI" w:hAnsi="Segoe UI" w:cs="Segoe UI"/>
          <w:b/>
          <w:bCs/>
        </w:rPr>
        <w:t>Community Consultation Comments</w:t>
      </w:r>
    </w:p>
    <w:p w14:paraId="181F93D5" w14:textId="0E7717FE" w:rsidR="002540BD" w:rsidRPr="002540BD" w:rsidRDefault="002540BD" w:rsidP="007061B8">
      <w:pPr>
        <w:spacing w:after="0" w:line="240" w:lineRule="auto"/>
        <w:jc w:val="both"/>
        <w:rPr>
          <w:rFonts w:ascii="Segoe UI" w:hAnsi="Segoe UI" w:cs="Segoe UI"/>
          <w:b/>
          <w:bCs/>
        </w:rPr>
      </w:pPr>
    </w:p>
    <w:p w14:paraId="3D62C98C" w14:textId="77777777" w:rsidR="002540BD" w:rsidRPr="002540BD" w:rsidRDefault="002540BD" w:rsidP="002540BD">
      <w:pPr>
        <w:spacing w:after="0" w:line="240" w:lineRule="auto"/>
        <w:rPr>
          <w:rFonts w:ascii="Segoe UI" w:eastAsia="Times New Roman" w:hAnsi="Segoe UI" w:cs="Segoe UI"/>
          <w:lang w:val="en-GB"/>
        </w:rPr>
      </w:pPr>
    </w:p>
    <w:tbl>
      <w:tblPr>
        <w:tblStyle w:val="TableGrid"/>
        <w:tblW w:w="0" w:type="auto"/>
        <w:tblLook w:val="04A0" w:firstRow="1" w:lastRow="0" w:firstColumn="1" w:lastColumn="0" w:noHBand="0" w:noVBand="1"/>
      </w:tblPr>
      <w:tblGrid>
        <w:gridCol w:w="1323"/>
        <w:gridCol w:w="3869"/>
        <w:gridCol w:w="3870"/>
      </w:tblGrid>
      <w:tr w:rsidR="002540BD" w:rsidRPr="002540BD" w14:paraId="3B8AA845" w14:textId="77777777" w:rsidTr="002540BD">
        <w:trPr>
          <w:tblHeader/>
        </w:trPr>
        <w:tc>
          <w:tcPr>
            <w:tcW w:w="1323" w:type="dxa"/>
            <w:shd w:val="clear" w:color="auto" w:fill="1F497D"/>
          </w:tcPr>
          <w:p w14:paraId="131542C1" w14:textId="77777777" w:rsidR="002540BD" w:rsidRPr="002540BD" w:rsidRDefault="002540BD" w:rsidP="002540BD">
            <w:pPr>
              <w:spacing w:before="60" w:after="60"/>
              <w:rPr>
                <w:rFonts w:ascii="Segoe UI" w:hAnsi="Segoe UI" w:cs="Segoe UI"/>
                <w:b/>
                <w:bCs/>
                <w:color w:val="FFFFFF"/>
                <w:lang w:val="en-GB"/>
              </w:rPr>
            </w:pPr>
            <w:r w:rsidRPr="002540BD">
              <w:rPr>
                <w:rFonts w:ascii="Segoe UI" w:hAnsi="Segoe UI" w:cs="Segoe UI"/>
                <w:b/>
                <w:bCs/>
                <w:color w:val="FFFFFF"/>
                <w:lang w:val="en-GB"/>
              </w:rPr>
              <w:t>Issue</w:t>
            </w:r>
          </w:p>
          <w:p w14:paraId="31AEAD12" w14:textId="54B93D84" w:rsidR="002540BD" w:rsidRPr="002540BD" w:rsidRDefault="002540BD" w:rsidP="002540BD">
            <w:pPr>
              <w:spacing w:before="60" w:after="60"/>
              <w:rPr>
                <w:rFonts w:ascii="Segoe UI" w:hAnsi="Segoe UI" w:cs="Segoe UI"/>
                <w:b/>
                <w:bCs/>
                <w:color w:val="FFFFFF"/>
                <w:lang w:val="en-GB"/>
              </w:rPr>
            </w:pPr>
            <w:r w:rsidRPr="002540BD">
              <w:rPr>
                <w:rFonts w:ascii="Segoe UI" w:hAnsi="Segoe UI" w:cs="Segoe UI"/>
                <w:b/>
                <w:bCs/>
                <w:color w:val="FFFFFF"/>
                <w:lang w:val="en-GB"/>
              </w:rPr>
              <w:t>Number</w:t>
            </w:r>
          </w:p>
        </w:tc>
        <w:tc>
          <w:tcPr>
            <w:tcW w:w="3869" w:type="dxa"/>
            <w:shd w:val="clear" w:color="auto" w:fill="1F497D"/>
          </w:tcPr>
          <w:p w14:paraId="153265E8" w14:textId="6179D8E1" w:rsidR="002540BD" w:rsidRPr="002540BD" w:rsidRDefault="002540BD" w:rsidP="002540BD">
            <w:pPr>
              <w:spacing w:before="60" w:after="60"/>
              <w:rPr>
                <w:rFonts w:ascii="Segoe UI" w:hAnsi="Segoe UI" w:cs="Segoe UI"/>
                <w:b/>
                <w:bCs/>
                <w:color w:val="FFFFFF"/>
                <w:lang w:val="en-GB"/>
              </w:rPr>
            </w:pPr>
            <w:r w:rsidRPr="002540BD">
              <w:rPr>
                <w:rFonts w:ascii="Segoe UI" w:hAnsi="Segoe UI" w:cs="Segoe UI"/>
                <w:b/>
                <w:bCs/>
                <w:color w:val="FFFFFF"/>
                <w:lang w:val="en-GB"/>
              </w:rPr>
              <w:t>Summary of Issue</w:t>
            </w:r>
            <w:r w:rsidR="001F2D84">
              <w:rPr>
                <w:rFonts w:ascii="Segoe UI" w:hAnsi="Segoe UI" w:cs="Segoe UI"/>
                <w:b/>
                <w:bCs/>
                <w:color w:val="FFFFFF"/>
                <w:lang w:val="en-GB"/>
              </w:rPr>
              <w:t>s</w:t>
            </w:r>
          </w:p>
        </w:tc>
        <w:tc>
          <w:tcPr>
            <w:tcW w:w="3870" w:type="dxa"/>
            <w:shd w:val="clear" w:color="auto" w:fill="1F497D"/>
          </w:tcPr>
          <w:p w14:paraId="497C2B01" w14:textId="77777777" w:rsidR="002540BD" w:rsidRPr="002540BD" w:rsidRDefault="002540BD" w:rsidP="002540BD">
            <w:pPr>
              <w:spacing w:before="60" w:after="60"/>
              <w:rPr>
                <w:rFonts w:ascii="Segoe UI" w:hAnsi="Segoe UI" w:cs="Segoe UI"/>
                <w:b/>
                <w:bCs/>
                <w:color w:val="FFFFFF"/>
                <w:lang w:val="en-GB"/>
              </w:rPr>
            </w:pPr>
            <w:r w:rsidRPr="002540BD">
              <w:rPr>
                <w:rFonts w:ascii="Segoe UI" w:hAnsi="Segoe UI" w:cs="Segoe UI"/>
                <w:b/>
                <w:bCs/>
                <w:color w:val="FFFFFF"/>
                <w:lang w:val="en-GB"/>
              </w:rPr>
              <w:t>Council Response</w:t>
            </w:r>
          </w:p>
        </w:tc>
      </w:tr>
      <w:tr w:rsidR="002540BD" w:rsidRPr="002540BD" w14:paraId="0513FFCE" w14:textId="77777777" w:rsidTr="0023629D">
        <w:tc>
          <w:tcPr>
            <w:tcW w:w="1323" w:type="dxa"/>
          </w:tcPr>
          <w:p w14:paraId="51662FEA" w14:textId="77777777" w:rsidR="002540BD" w:rsidRPr="002540BD" w:rsidRDefault="002540BD" w:rsidP="002540BD">
            <w:pPr>
              <w:spacing w:before="60" w:after="60"/>
              <w:rPr>
                <w:rFonts w:ascii="Segoe UI" w:hAnsi="Segoe UI" w:cs="Segoe UI"/>
                <w:b/>
                <w:bCs/>
                <w:lang w:val="en-GB"/>
              </w:rPr>
            </w:pPr>
            <w:r w:rsidRPr="002540BD">
              <w:rPr>
                <w:rFonts w:ascii="Segoe UI" w:hAnsi="Segoe UI" w:cs="Segoe UI"/>
                <w:b/>
                <w:bCs/>
                <w:lang w:val="en-GB"/>
              </w:rPr>
              <w:t>1</w:t>
            </w:r>
          </w:p>
        </w:tc>
        <w:tc>
          <w:tcPr>
            <w:tcW w:w="3869" w:type="dxa"/>
          </w:tcPr>
          <w:p w14:paraId="5848FD79"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 xml:space="preserve">Fully support the proposed revisions to the planning document. Glenworth Valley is a major asset not just to the Central Coast but for NSW as a whole, and as long as adequate controls and design standards are in </w:t>
            </w:r>
            <w:proofErr w:type="gramStart"/>
            <w:r w:rsidRPr="002540BD">
              <w:rPr>
                <w:rFonts w:ascii="Segoe UI" w:hAnsi="Segoe UI" w:cs="Segoe UI"/>
                <w:lang w:val="en-GB"/>
              </w:rPr>
              <w:t>place</w:t>
            </w:r>
            <w:proofErr w:type="gramEnd"/>
            <w:r w:rsidRPr="002540BD">
              <w:rPr>
                <w:rFonts w:ascii="Segoe UI" w:hAnsi="Segoe UI" w:cs="Segoe UI"/>
                <w:lang w:val="en-GB"/>
              </w:rPr>
              <w:t xml:space="preserve"> I have confidence that this operation could continue to develop as a significant tourism operation with minimum impact on surrounding communities.</w:t>
            </w:r>
          </w:p>
        </w:tc>
        <w:tc>
          <w:tcPr>
            <w:tcW w:w="3870" w:type="dxa"/>
          </w:tcPr>
          <w:p w14:paraId="0330E028"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Noted.</w:t>
            </w:r>
          </w:p>
        </w:tc>
      </w:tr>
      <w:tr w:rsidR="002540BD" w:rsidRPr="002540BD" w14:paraId="30335CDB" w14:textId="77777777" w:rsidTr="0023629D">
        <w:tc>
          <w:tcPr>
            <w:tcW w:w="1323" w:type="dxa"/>
          </w:tcPr>
          <w:p w14:paraId="6B4927D3" w14:textId="77777777" w:rsidR="002540BD" w:rsidRPr="002540BD" w:rsidRDefault="002540BD" w:rsidP="002540BD">
            <w:pPr>
              <w:spacing w:before="60" w:after="60"/>
              <w:rPr>
                <w:rFonts w:ascii="Segoe UI" w:hAnsi="Segoe UI" w:cs="Segoe UI"/>
                <w:b/>
                <w:bCs/>
                <w:lang w:val="en-GB"/>
              </w:rPr>
            </w:pPr>
            <w:r w:rsidRPr="002540BD">
              <w:rPr>
                <w:rFonts w:ascii="Segoe UI" w:hAnsi="Segoe UI" w:cs="Segoe UI"/>
                <w:b/>
                <w:bCs/>
                <w:lang w:val="en-GB"/>
              </w:rPr>
              <w:t>2</w:t>
            </w:r>
          </w:p>
        </w:tc>
        <w:tc>
          <w:tcPr>
            <w:tcW w:w="3869" w:type="dxa"/>
          </w:tcPr>
          <w:p w14:paraId="7089BE01"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Support changes to planning instruments that provide legal authority to continue current activities on the land parcels in question and that permit camping and caravan activities on land already used for camping, and for enhancement of those facilities, such as building new facilities and improving any associated access roads.</w:t>
            </w:r>
          </w:p>
        </w:tc>
        <w:tc>
          <w:tcPr>
            <w:tcW w:w="3870" w:type="dxa"/>
          </w:tcPr>
          <w:p w14:paraId="6F4B20B9"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 xml:space="preserve">Noted. The use of “caravan park” is separately defined from that of “camping ground” under the GLEP 2014 and </w:t>
            </w:r>
            <w:proofErr w:type="gramStart"/>
            <w:r w:rsidRPr="002540BD">
              <w:rPr>
                <w:rFonts w:ascii="Segoe UI" w:hAnsi="Segoe UI" w:cs="Segoe UI"/>
                <w:lang w:val="en-GB"/>
              </w:rPr>
              <w:t>CCLEP, and</w:t>
            </w:r>
            <w:proofErr w:type="gramEnd"/>
            <w:r w:rsidRPr="002540BD">
              <w:rPr>
                <w:rFonts w:ascii="Segoe UI" w:hAnsi="Segoe UI" w:cs="Segoe UI"/>
                <w:lang w:val="en-GB"/>
              </w:rPr>
              <w:t xml:space="preserve"> is not proposed to be an additional permitted use in this Planning Proposal.</w:t>
            </w:r>
          </w:p>
        </w:tc>
      </w:tr>
      <w:tr w:rsidR="002540BD" w:rsidRPr="002540BD" w14:paraId="0CC6C2A2" w14:textId="77777777" w:rsidTr="0023629D">
        <w:tc>
          <w:tcPr>
            <w:tcW w:w="1323" w:type="dxa"/>
          </w:tcPr>
          <w:p w14:paraId="3D7E1CF1" w14:textId="77777777" w:rsidR="002540BD" w:rsidRPr="002540BD" w:rsidRDefault="002540BD" w:rsidP="002540BD">
            <w:pPr>
              <w:spacing w:before="60" w:after="60"/>
              <w:rPr>
                <w:rFonts w:ascii="Segoe UI" w:hAnsi="Segoe UI" w:cs="Segoe UI"/>
                <w:b/>
                <w:bCs/>
                <w:lang w:val="en-GB"/>
              </w:rPr>
            </w:pPr>
            <w:r w:rsidRPr="002540BD">
              <w:rPr>
                <w:rFonts w:ascii="Segoe UI" w:hAnsi="Segoe UI" w:cs="Segoe UI"/>
                <w:b/>
                <w:bCs/>
                <w:lang w:val="en-GB"/>
              </w:rPr>
              <w:t>3</w:t>
            </w:r>
          </w:p>
        </w:tc>
        <w:tc>
          <w:tcPr>
            <w:tcW w:w="3869" w:type="dxa"/>
          </w:tcPr>
          <w:p w14:paraId="2A292C28"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Do not support changes to the planning instruments that allows removal of native vegetation and that allows construction of additional buildings, other than to support camping and caravan activities. Further urbanisation of the site will:</w:t>
            </w:r>
          </w:p>
          <w:p w14:paraId="088FD5DF" w14:textId="77777777" w:rsidR="002540BD" w:rsidRPr="002540BD" w:rsidRDefault="002540BD" w:rsidP="002540BD">
            <w:pPr>
              <w:numPr>
                <w:ilvl w:val="0"/>
                <w:numId w:val="38"/>
              </w:numPr>
              <w:spacing w:before="60" w:after="60"/>
              <w:contextualSpacing/>
              <w:rPr>
                <w:rFonts w:ascii="Segoe UI" w:hAnsi="Segoe UI" w:cs="Segoe UI"/>
                <w:lang w:val="en-GB"/>
              </w:rPr>
            </w:pPr>
            <w:r w:rsidRPr="002540BD">
              <w:rPr>
                <w:rFonts w:ascii="Segoe UI" w:hAnsi="Segoe UI" w:cs="Segoe UI"/>
                <w:lang w:val="en-GB"/>
              </w:rPr>
              <w:t xml:space="preserve">Permanently and negatively alter the scenic quality of the </w:t>
            </w:r>
            <w:proofErr w:type="gramStart"/>
            <w:r w:rsidRPr="002540BD">
              <w:rPr>
                <w:rFonts w:ascii="Segoe UI" w:hAnsi="Segoe UI" w:cs="Segoe UI"/>
                <w:lang w:val="en-GB"/>
              </w:rPr>
              <w:t>area;</w:t>
            </w:r>
            <w:proofErr w:type="gramEnd"/>
          </w:p>
          <w:p w14:paraId="110C8F9A" w14:textId="77777777" w:rsidR="002540BD" w:rsidRPr="002540BD" w:rsidRDefault="002540BD" w:rsidP="002540BD">
            <w:pPr>
              <w:numPr>
                <w:ilvl w:val="0"/>
                <w:numId w:val="38"/>
              </w:numPr>
              <w:spacing w:before="60" w:after="60"/>
              <w:contextualSpacing/>
              <w:rPr>
                <w:rFonts w:ascii="Segoe UI" w:hAnsi="Segoe UI" w:cs="Segoe UI"/>
                <w:lang w:val="en-GB"/>
              </w:rPr>
            </w:pPr>
            <w:r w:rsidRPr="002540BD">
              <w:rPr>
                <w:rFonts w:ascii="Segoe UI" w:hAnsi="Segoe UI" w:cs="Segoe UI"/>
                <w:lang w:val="en-GB"/>
              </w:rPr>
              <w:t>Reduce native vegetation cover (too much native vegetation has been lost since European settlement, to the detriment of native flora and fauna, community environmental health</w:t>
            </w:r>
            <w:proofErr w:type="gramStart"/>
            <w:r w:rsidRPr="002540BD">
              <w:rPr>
                <w:rFonts w:ascii="Segoe UI" w:hAnsi="Segoe UI" w:cs="Segoe UI"/>
                <w:lang w:val="en-GB"/>
              </w:rPr>
              <w:t>);</w:t>
            </w:r>
            <w:proofErr w:type="gramEnd"/>
          </w:p>
          <w:p w14:paraId="29EDB447" w14:textId="77777777" w:rsidR="002540BD" w:rsidRPr="002540BD" w:rsidRDefault="002540BD" w:rsidP="002540BD">
            <w:pPr>
              <w:numPr>
                <w:ilvl w:val="0"/>
                <w:numId w:val="38"/>
              </w:numPr>
              <w:spacing w:before="60" w:after="60"/>
              <w:contextualSpacing/>
              <w:rPr>
                <w:rFonts w:ascii="Segoe UI" w:hAnsi="Segoe UI" w:cs="Segoe UI"/>
                <w:lang w:val="en-GB"/>
              </w:rPr>
            </w:pPr>
            <w:r w:rsidRPr="002540BD">
              <w:rPr>
                <w:rFonts w:ascii="Segoe UI" w:hAnsi="Segoe UI" w:cs="Segoe UI"/>
                <w:lang w:val="en-GB"/>
              </w:rPr>
              <w:t xml:space="preserve">Create additional </w:t>
            </w:r>
            <w:proofErr w:type="gramStart"/>
            <w:r w:rsidRPr="002540BD">
              <w:rPr>
                <w:rFonts w:ascii="Segoe UI" w:hAnsi="Segoe UI" w:cs="Segoe UI"/>
                <w:lang w:val="en-GB"/>
              </w:rPr>
              <w:t>high density</w:t>
            </w:r>
            <w:proofErr w:type="gramEnd"/>
            <w:r w:rsidRPr="002540BD">
              <w:rPr>
                <w:rFonts w:ascii="Segoe UI" w:hAnsi="Segoe UI" w:cs="Segoe UI"/>
                <w:lang w:val="en-GB"/>
              </w:rPr>
              <w:t xml:space="preserve"> traffic, during holiday periods, on local roads (no proposed traffic management plan will prevent this from happening, it may only reduce traffic impacts – therefore the development will cause negative impacts on local businesses and residents);</w:t>
            </w:r>
          </w:p>
          <w:p w14:paraId="1F29DD83" w14:textId="77777777" w:rsidR="002540BD" w:rsidRPr="002540BD" w:rsidRDefault="002540BD" w:rsidP="002540BD">
            <w:pPr>
              <w:numPr>
                <w:ilvl w:val="0"/>
                <w:numId w:val="38"/>
              </w:numPr>
              <w:spacing w:before="60" w:after="60"/>
              <w:contextualSpacing/>
              <w:rPr>
                <w:rFonts w:ascii="Segoe UI" w:hAnsi="Segoe UI" w:cs="Segoe UI"/>
                <w:lang w:val="en-GB"/>
              </w:rPr>
            </w:pPr>
            <w:r w:rsidRPr="002540BD">
              <w:rPr>
                <w:rFonts w:ascii="Segoe UI" w:hAnsi="Segoe UI" w:cs="Segoe UI"/>
                <w:lang w:val="en-GB"/>
              </w:rPr>
              <w:t xml:space="preserve">The internal road servicing the site is not suited to additional, dense event related traffic movements – the road in its current form is highly unlikely to support safe and orderly </w:t>
            </w:r>
            <w:r w:rsidRPr="002540BD">
              <w:rPr>
                <w:rFonts w:ascii="Segoe UI" w:hAnsi="Segoe UI" w:cs="Segoe UI"/>
                <w:lang w:val="en-GB"/>
              </w:rPr>
              <w:lastRenderedPageBreak/>
              <w:t xml:space="preserve">evacuation of pedestrians and vehicles in the event of bushfire – doubt the internal road could be altered to cater for safe and orderly traffic movements due to </w:t>
            </w:r>
            <w:proofErr w:type="gramStart"/>
            <w:r w:rsidRPr="002540BD">
              <w:rPr>
                <w:rFonts w:ascii="Segoe UI" w:hAnsi="Segoe UI" w:cs="Segoe UI"/>
                <w:lang w:val="en-GB"/>
              </w:rPr>
              <w:t>topography;</w:t>
            </w:r>
            <w:proofErr w:type="gramEnd"/>
          </w:p>
          <w:p w14:paraId="2423BCA3" w14:textId="77777777" w:rsidR="002540BD" w:rsidRPr="002540BD" w:rsidRDefault="002540BD" w:rsidP="002540BD">
            <w:pPr>
              <w:numPr>
                <w:ilvl w:val="0"/>
                <w:numId w:val="38"/>
              </w:numPr>
              <w:spacing w:before="60" w:after="60"/>
              <w:contextualSpacing/>
              <w:rPr>
                <w:rFonts w:ascii="Segoe UI" w:hAnsi="Segoe UI" w:cs="Segoe UI"/>
                <w:lang w:val="en-GB"/>
              </w:rPr>
            </w:pPr>
            <w:r w:rsidRPr="002540BD">
              <w:rPr>
                <w:rFonts w:ascii="Segoe UI" w:hAnsi="Segoe UI" w:cs="Segoe UI"/>
                <w:lang w:val="en-GB"/>
              </w:rPr>
              <w:t>Additional development will put greater pressure on adjoining conservation lands owned and managed by the NSW Government as noted by the NPWS.</w:t>
            </w:r>
          </w:p>
        </w:tc>
        <w:tc>
          <w:tcPr>
            <w:tcW w:w="3870" w:type="dxa"/>
          </w:tcPr>
          <w:p w14:paraId="0A088F16"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lastRenderedPageBreak/>
              <w:t xml:space="preserve">Noted. </w:t>
            </w:r>
          </w:p>
          <w:p w14:paraId="0565F89E"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 xml:space="preserve">The following additional permitted uses are only proposed to be permitted on cleared land as shown on the APU Map: extensive agriculture, camping grounds, tourist and visitor accommodation and function centre. Any food and drink premises and entertainment facility are only permitted in the existing building or a future extension. </w:t>
            </w:r>
          </w:p>
          <w:p w14:paraId="33FF6CA9"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Only eco-tourist facility and recreation facility (outdoor) are proposed to be a permitted use in vegetated areas. Any future development will require development consent and will have to comply with the objectives of the underlying zone and in the case of eco-tourist facility, comply with the requirements of clause 5.13 in the GLEP 2014 or CCLEP.</w:t>
            </w:r>
          </w:p>
          <w:p w14:paraId="68F87020"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Transport for NSW raised no objection to the Planning Proposal and are satisfied that traffic matters on surrounding roads can be addressed when Development Applications for specific uses are lodged.</w:t>
            </w:r>
          </w:p>
          <w:p w14:paraId="1DF26893"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 xml:space="preserve">NSW Rural Fire Service raise no objection to the Planning Proposal and are </w:t>
            </w:r>
            <w:r w:rsidRPr="002540BD">
              <w:rPr>
                <w:rFonts w:ascii="Segoe UI" w:hAnsi="Segoe UI" w:cs="Segoe UI"/>
                <w:lang w:val="en-GB"/>
              </w:rPr>
              <w:lastRenderedPageBreak/>
              <w:t>satisfied that evacuation matters can be addressed when Development Applications for specific uses are lodged.</w:t>
            </w:r>
          </w:p>
          <w:p w14:paraId="77A286EC" w14:textId="77777777" w:rsidR="002540BD" w:rsidRPr="002540BD" w:rsidRDefault="002540BD" w:rsidP="002540BD">
            <w:pPr>
              <w:spacing w:before="60" w:after="60"/>
              <w:rPr>
                <w:rFonts w:ascii="Segoe UI" w:hAnsi="Segoe UI" w:cs="Segoe UI"/>
                <w:lang w:val="en-GB"/>
              </w:rPr>
            </w:pPr>
          </w:p>
          <w:p w14:paraId="311EFC6E" w14:textId="77777777" w:rsidR="002540BD" w:rsidRPr="002540BD" w:rsidRDefault="002540BD" w:rsidP="002540BD">
            <w:pPr>
              <w:spacing w:before="60" w:after="60"/>
              <w:rPr>
                <w:rFonts w:ascii="Segoe UI" w:hAnsi="Segoe UI" w:cs="Segoe UI"/>
                <w:lang w:val="en-GB"/>
              </w:rPr>
            </w:pPr>
            <w:r w:rsidRPr="002540BD">
              <w:rPr>
                <w:rFonts w:ascii="Segoe UI" w:hAnsi="Segoe UI" w:cs="Segoe UI"/>
                <w:lang w:val="en-GB"/>
              </w:rPr>
              <w:t>It is unknown at this stage what specific development is proposed nor the location of such development. Should a Development Application be lodged on a lot adjoining a National Park then the adjoining owner (</w:t>
            </w:r>
            <w:proofErr w:type="gramStart"/>
            <w:r w:rsidRPr="002540BD">
              <w:rPr>
                <w:rFonts w:ascii="Segoe UI" w:hAnsi="Segoe UI" w:cs="Segoe UI"/>
                <w:lang w:val="en-GB"/>
              </w:rPr>
              <w:t>i.e.</w:t>
            </w:r>
            <w:proofErr w:type="gramEnd"/>
            <w:r w:rsidRPr="002540BD">
              <w:rPr>
                <w:rFonts w:ascii="Segoe UI" w:hAnsi="Segoe UI" w:cs="Segoe UI"/>
                <w:lang w:val="en-GB"/>
              </w:rPr>
              <w:t xml:space="preserve"> NPWS) would be advised. Proposed uses located away from the National Park boundary would not be expected to put pressure on land owned by NPWS. </w:t>
            </w:r>
          </w:p>
        </w:tc>
      </w:tr>
    </w:tbl>
    <w:p w14:paraId="40257CF2" w14:textId="77777777" w:rsidR="002540BD" w:rsidRPr="002540BD" w:rsidRDefault="002540BD" w:rsidP="002540BD">
      <w:pPr>
        <w:spacing w:after="0" w:line="240" w:lineRule="auto"/>
        <w:rPr>
          <w:rFonts w:ascii="Segoe UI" w:eastAsia="Times New Roman" w:hAnsi="Segoe UI" w:cs="Segoe UI"/>
          <w:lang w:val="en-GB"/>
        </w:rPr>
      </w:pPr>
    </w:p>
    <w:p w14:paraId="406C552B" w14:textId="77777777" w:rsidR="002540BD" w:rsidRPr="002540BD" w:rsidRDefault="002540BD" w:rsidP="007061B8">
      <w:pPr>
        <w:spacing w:after="0" w:line="240" w:lineRule="auto"/>
        <w:jc w:val="both"/>
        <w:rPr>
          <w:rFonts w:ascii="Segoe UI" w:hAnsi="Segoe UI" w:cs="Segoe UI"/>
        </w:rPr>
      </w:pPr>
    </w:p>
    <w:sectPr w:rsidR="002540BD" w:rsidRPr="002540BD"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2"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3" w15:restartNumberingAfterBreak="0">
    <w:nsid w:val="2AAE2121"/>
    <w:multiLevelType w:val="hybridMultilevel"/>
    <w:tmpl w:val="72F0D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5"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6" w15:restartNumberingAfterBreak="0">
    <w:nsid w:val="35C9274C"/>
    <w:multiLevelType w:val="multilevel"/>
    <w:tmpl w:val="536CE31C"/>
    <w:numStyleLink w:val="GCC"/>
  </w:abstractNum>
  <w:abstractNum w:abstractNumId="17"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60D6D"/>
    <w:multiLevelType w:val="multilevel"/>
    <w:tmpl w:val="536CE31C"/>
    <w:numStyleLink w:val="GCC"/>
  </w:abstractNum>
  <w:abstractNum w:abstractNumId="19"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1"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0"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2" w15:restartNumberingAfterBreak="0">
    <w:nsid w:val="6E422BD8"/>
    <w:multiLevelType w:val="multilevel"/>
    <w:tmpl w:val="536CE31C"/>
    <w:numStyleLink w:val="GCC"/>
  </w:abstractNum>
  <w:abstractNum w:abstractNumId="33"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5"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7"/>
  </w:num>
  <w:num w:numId="3">
    <w:abstractNumId w:val="9"/>
  </w:num>
  <w:num w:numId="4">
    <w:abstractNumId w:val="35"/>
  </w:num>
  <w:num w:numId="5">
    <w:abstractNumId w:val="36"/>
  </w:num>
  <w:num w:numId="6">
    <w:abstractNumId w:val="21"/>
  </w:num>
  <w:num w:numId="7">
    <w:abstractNumId w:val="10"/>
  </w:num>
  <w:num w:numId="8">
    <w:abstractNumId w:val="33"/>
  </w:num>
  <w:num w:numId="9">
    <w:abstractNumId w:val="20"/>
  </w:num>
  <w:num w:numId="10">
    <w:abstractNumId w:val="26"/>
  </w:num>
  <w:num w:numId="11">
    <w:abstractNumId w:val="34"/>
  </w:num>
  <w:num w:numId="12">
    <w:abstractNumId w:val="14"/>
  </w:num>
  <w:num w:numId="13">
    <w:abstractNumId w:val="29"/>
  </w:num>
  <w:num w:numId="14">
    <w:abstractNumId w:val="12"/>
  </w:num>
  <w:num w:numId="15">
    <w:abstractNumId w:val="15"/>
  </w:num>
  <w:num w:numId="16">
    <w:abstractNumId w:val="25"/>
  </w:num>
  <w:num w:numId="17">
    <w:abstractNumId w:val="31"/>
  </w:num>
  <w:num w:numId="18">
    <w:abstractNumId w:val="22"/>
  </w:num>
  <w:num w:numId="19">
    <w:abstractNumId w:val="4"/>
  </w:num>
  <w:num w:numId="20">
    <w:abstractNumId w:val="23"/>
  </w:num>
  <w:num w:numId="21">
    <w:abstractNumId w:val="7"/>
  </w:num>
  <w:num w:numId="22">
    <w:abstractNumId w:val="5"/>
  </w:num>
  <w:num w:numId="23">
    <w:abstractNumId w:val="24"/>
  </w:num>
  <w:num w:numId="24">
    <w:abstractNumId w:val="19"/>
  </w:num>
  <w:num w:numId="25">
    <w:abstractNumId w:val="18"/>
  </w:num>
  <w:num w:numId="26">
    <w:abstractNumId w:val="11"/>
  </w:num>
  <w:num w:numId="27">
    <w:abstractNumId w:val="28"/>
  </w:num>
  <w:num w:numId="28">
    <w:abstractNumId w:val="6"/>
  </w:num>
  <w:num w:numId="29">
    <w:abstractNumId w:val="8"/>
  </w:num>
  <w:num w:numId="30">
    <w:abstractNumId w:val="30"/>
  </w:num>
  <w:num w:numId="31">
    <w:abstractNumId w:val="3"/>
  </w:num>
  <w:num w:numId="32">
    <w:abstractNumId w:val="2"/>
  </w:num>
  <w:num w:numId="33">
    <w:abstractNumId w:val="1"/>
  </w:num>
  <w:num w:numId="34">
    <w:abstractNumId w:val="0"/>
  </w:num>
  <w:num w:numId="35">
    <w:abstractNumId w:val="32"/>
  </w:num>
  <w:num w:numId="36">
    <w:abstractNumId w:val="16"/>
  </w:num>
  <w:num w:numId="37">
    <w:abstractNumId w:val="1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2540BD"/>
    <w:rsid w:val="000D34EC"/>
    <w:rsid w:val="00176E71"/>
    <w:rsid w:val="001C0722"/>
    <w:rsid w:val="001F2D84"/>
    <w:rsid w:val="002540BD"/>
    <w:rsid w:val="002874D4"/>
    <w:rsid w:val="002E4DC0"/>
    <w:rsid w:val="003C659D"/>
    <w:rsid w:val="004718D3"/>
    <w:rsid w:val="00662413"/>
    <w:rsid w:val="00695A1E"/>
    <w:rsid w:val="007061B8"/>
    <w:rsid w:val="00707A2B"/>
    <w:rsid w:val="00953A6F"/>
    <w:rsid w:val="00AC095F"/>
    <w:rsid w:val="00AC4AD7"/>
    <w:rsid w:val="00AE0F3D"/>
    <w:rsid w:val="00C06814"/>
    <w:rsid w:val="00C94EDC"/>
    <w:rsid w:val="00D72849"/>
    <w:rsid w:val="00D86B96"/>
    <w:rsid w:val="00D871FF"/>
    <w:rsid w:val="00D9276C"/>
    <w:rsid w:val="00DB329A"/>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B606"/>
  <w15:chartTrackingRefBased/>
  <w15:docId w15:val="{B6AF03A2-9FB3-41FC-8741-B7205DE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table" w:styleId="TableGrid">
    <w:name w:val="Table Grid"/>
    <w:basedOn w:val="TableNormal"/>
    <w:uiPriority w:val="59"/>
    <w:rsid w:val="002540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3112</Characters>
  <Application>Microsoft Office Word</Application>
  <DocSecurity>0</DocSecurity>
  <Lines>119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Ronan</dc:creator>
  <cp:keywords/>
  <dc:description/>
  <cp:lastModifiedBy>Bruce Ronan</cp:lastModifiedBy>
  <cp:revision>3</cp:revision>
  <dcterms:created xsi:type="dcterms:W3CDTF">2022-03-14T04:05:00Z</dcterms:created>
  <dcterms:modified xsi:type="dcterms:W3CDTF">2022-03-15T22:11:00Z</dcterms:modified>
</cp:coreProperties>
</file>